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12F" w:rsidRDefault="0020612F" w:rsidP="0068702D">
      <w:pPr>
        <w:pStyle w:val="Heading1"/>
      </w:pPr>
      <w:bookmarkStart w:id="0" w:name="_Toc468195322"/>
      <w:bookmarkStart w:id="1" w:name="_Toc511921351"/>
    </w:p>
    <w:p w:rsidR="0020612F" w:rsidRDefault="0020612F" w:rsidP="0068702D">
      <w:pPr>
        <w:pStyle w:val="Heading1"/>
      </w:pPr>
    </w:p>
    <w:p w:rsidR="0068702D" w:rsidRPr="0020612F" w:rsidRDefault="0068702D" w:rsidP="0068702D">
      <w:pPr>
        <w:pStyle w:val="Heading1"/>
      </w:pPr>
      <w:r w:rsidRPr="0020612F">
        <w:t>Volunteering in NHSScotland</w:t>
      </w:r>
      <w:r w:rsidR="0020612F">
        <w:rPr>
          <w:noProof/>
          <w:lang w:eastAsia="en-GB"/>
        </w:rPr>
        <w:drawing>
          <wp:anchor distT="0" distB="0" distL="114300" distR="114300" simplePos="0" relativeHeight="251658240" behindDoc="0" locked="0" layoutInCell="1" allowOverlap="1">
            <wp:simplePos x="2924175" y="457200"/>
            <wp:positionH relativeFrom="margin">
              <wp:align>right</wp:align>
            </wp:positionH>
            <wp:positionV relativeFrom="margin">
              <wp:align>top</wp:align>
            </wp:positionV>
            <wp:extent cx="2701925" cy="432435"/>
            <wp:effectExtent l="0" t="0" r="3175" b="5715"/>
            <wp:wrapSquare wrapText="bothSides"/>
            <wp:docPr id="1" name="Picture 1" descr="http://thesource/our-organisation/Communications/Shared%20Documents/HIS_C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source/our-organisation/Communications/Shared%20Documents/HIS_C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1925" cy="432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612F">
        <w:br/>
        <w:t>Developing Volunteering Checklist</w:t>
      </w:r>
      <w:bookmarkEnd w:id="0"/>
      <w:bookmarkEnd w:id="1"/>
    </w:p>
    <w:p w:rsidR="0068702D" w:rsidRPr="0020612F" w:rsidRDefault="0068702D" w:rsidP="0068702D">
      <w:pPr>
        <w:rPr>
          <w:sz w:val="24"/>
          <w:szCs w:val="24"/>
        </w:rPr>
      </w:pPr>
      <w:r w:rsidRPr="0020612F">
        <w:rPr>
          <w:sz w:val="24"/>
          <w:szCs w:val="24"/>
        </w:rPr>
        <w:t>This checklist has been designed to support those who manage volunteers in designing volunteer roles. It is specifically aimed at ensuring that the boundaries of the role do not infringe upon the roles of paid staff and that due consideration has been given to the support needs of the volunteer.</w:t>
      </w:r>
    </w:p>
    <w:p w:rsidR="0068702D" w:rsidRPr="0020612F" w:rsidRDefault="0068702D" w:rsidP="0068702D">
      <w:pPr>
        <w:rPr>
          <w:b/>
          <w:sz w:val="24"/>
          <w:szCs w:val="24"/>
        </w:rPr>
      </w:pPr>
      <w:r w:rsidRPr="0020612F">
        <w:rPr>
          <w:sz w:val="24"/>
          <w:szCs w:val="24"/>
        </w:rPr>
        <w:t>The checklist draws from existing good practice from Volunteering Australia</w:t>
      </w:r>
      <w:r w:rsidRPr="0020612F">
        <w:rPr>
          <w:sz w:val="24"/>
          <w:szCs w:val="24"/>
          <w:vertAlign w:val="superscript"/>
        </w:rPr>
        <w:footnoteReference w:id="1"/>
      </w:r>
      <w:r w:rsidRPr="0020612F">
        <w:rPr>
          <w:sz w:val="24"/>
          <w:szCs w:val="24"/>
        </w:rPr>
        <w:t>, NHS Lanarkshire and work undertaken through the Volunteering in NHSScotland Programme</w:t>
      </w:r>
      <w:r w:rsidR="0020612F">
        <w:rPr>
          <w:rStyle w:val="FootnoteReference"/>
          <w:sz w:val="24"/>
          <w:szCs w:val="24"/>
        </w:rPr>
        <w:footnoteReference w:id="2"/>
      </w:r>
      <w:r w:rsidRPr="0020612F">
        <w:rPr>
          <w:sz w:val="24"/>
          <w:szCs w:val="24"/>
        </w:rPr>
        <w:t>.</w:t>
      </w:r>
    </w:p>
    <w:p w:rsidR="0068702D" w:rsidRPr="0020612F" w:rsidRDefault="0068702D" w:rsidP="0068702D">
      <w:pPr>
        <w:pStyle w:val="Heading2"/>
        <w:rPr>
          <w:sz w:val="24"/>
          <w:szCs w:val="24"/>
        </w:rPr>
      </w:pPr>
      <w:r w:rsidRPr="0020612F">
        <w:rPr>
          <w:sz w:val="24"/>
          <w:szCs w:val="24"/>
        </w:rPr>
        <w:t>Duties that should not be undertaken without specific training and local agreement</w:t>
      </w:r>
    </w:p>
    <w:p w:rsidR="0068702D" w:rsidRPr="0020612F" w:rsidRDefault="0068702D" w:rsidP="0068702D">
      <w:pPr>
        <w:rPr>
          <w:sz w:val="24"/>
          <w:szCs w:val="24"/>
        </w:rPr>
      </w:pPr>
      <w:r w:rsidRPr="0020612F">
        <w:rPr>
          <w:sz w:val="24"/>
          <w:szCs w:val="24"/>
        </w:rPr>
        <w:t>Whilst all volunteer roles require induction training, the following is a list of tasks that volunteers should not undertake without specific training and local agreement (e.g. through the Partnership Forum, a subgroup of the Forum or other local staff engagement structure).</w:t>
      </w:r>
    </w:p>
    <w:p w:rsidR="0068702D" w:rsidRPr="0020612F" w:rsidRDefault="0068702D" w:rsidP="0068702D">
      <w:pPr>
        <w:rPr>
          <w:sz w:val="24"/>
          <w:szCs w:val="24"/>
        </w:rPr>
      </w:pPr>
      <w:r w:rsidRPr="0020612F">
        <w:rPr>
          <w:sz w:val="24"/>
          <w:szCs w:val="24"/>
        </w:rPr>
        <w:t>The list is not definitive and organisations may wish to expand the list to create their own version.</w:t>
      </w:r>
    </w:p>
    <w:p w:rsidR="0068702D" w:rsidRPr="0020612F" w:rsidRDefault="0068702D" w:rsidP="0068702D">
      <w:pPr>
        <w:rPr>
          <w:sz w:val="24"/>
          <w:szCs w:val="24"/>
        </w:rPr>
      </w:pPr>
      <w:r w:rsidRPr="0020612F">
        <w:rPr>
          <w:sz w:val="24"/>
          <w:szCs w:val="24"/>
        </w:rPr>
        <w:t>In most cases volunteers would not:</w:t>
      </w:r>
    </w:p>
    <w:p w:rsidR="0068702D" w:rsidRPr="0020612F" w:rsidRDefault="0068702D" w:rsidP="0068702D">
      <w:pPr>
        <w:pStyle w:val="ListParagraph"/>
        <w:numPr>
          <w:ilvl w:val="0"/>
          <w:numId w:val="28"/>
        </w:numPr>
        <w:spacing w:after="0" w:line="264" w:lineRule="auto"/>
        <w:ind w:left="567" w:hanging="283"/>
      </w:pPr>
      <w:r w:rsidRPr="0020612F">
        <w:t>take people to the toilet</w:t>
      </w:r>
    </w:p>
    <w:p w:rsidR="0068702D" w:rsidRPr="0020612F" w:rsidRDefault="0068702D" w:rsidP="0068702D">
      <w:pPr>
        <w:pStyle w:val="ListParagraph"/>
        <w:numPr>
          <w:ilvl w:val="0"/>
          <w:numId w:val="28"/>
        </w:numPr>
        <w:spacing w:after="0" w:line="264" w:lineRule="auto"/>
        <w:ind w:left="567" w:hanging="283"/>
      </w:pPr>
      <w:r w:rsidRPr="0020612F">
        <w:t>dress people</w:t>
      </w:r>
    </w:p>
    <w:p w:rsidR="0068702D" w:rsidRPr="0020612F" w:rsidRDefault="0068702D" w:rsidP="0068702D">
      <w:pPr>
        <w:pStyle w:val="ListParagraph"/>
        <w:numPr>
          <w:ilvl w:val="0"/>
          <w:numId w:val="28"/>
        </w:numPr>
        <w:spacing w:after="0" w:line="264" w:lineRule="auto"/>
        <w:ind w:left="567" w:hanging="283"/>
      </w:pPr>
      <w:r w:rsidRPr="0020612F">
        <w:t>feed people (see ‘Ward Volunteers at Mealtimes’</w:t>
      </w:r>
      <w:r w:rsidRPr="0020612F">
        <w:rPr>
          <w:rStyle w:val="FootnoteReference"/>
        </w:rPr>
        <w:footnoteReference w:id="3"/>
      </w:r>
      <w:r w:rsidRPr="0020612F">
        <w:t xml:space="preserve"> for guidance)</w:t>
      </w:r>
    </w:p>
    <w:p w:rsidR="0068702D" w:rsidRPr="0020612F" w:rsidRDefault="0068702D" w:rsidP="0068702D">
      <w:pPr>
        <w:pStyle w:val="ListParagraph"/>
        <w:numPr>
          <w:ilvl w:val="0"/>
          <w:numId w:val="28"/>
        </w:numPr>
        <w:spacing w:after="0" w:line="264" w:lineRule="auto"/>
        <w:ind w:left="567" w:hanging="283"/>
      </w:pPr>
      <w:r w:rsidRPr="0020612F">
        <w:t>have contact with open wounds</w:t>
      </w:r>
    </w:p>
    <w:p w:rsidR="0068702D" w:rsidRPr="0020612F" w:rsidRDefault="0068702D" w:rsidP="0068702D">
      <w:pPr>
        <w:pStyle w:val="ListParagraph"/>
        <w:numPr>
          <w:ilvl w:val="0"/>
          <w:numId w:val="28"/>
        </w:numPr>
        <w:spacing w:after="0" w:line="264" w:lineRule="auto"/>
        <w:ind w:left="567" w:hanging="283"/>
      </w:pPr>
      <w:r w:rsidRPr="0020612F">
        <w:t>transfer people from chairs/beds to wheelchairs</w:t>
      </w:r>
    </w:p>
    <w:p w:rsidR="0068702D" w:rsidRPr="0020612F" w:rsidRDefault="0068702D" w:rsidP="0068702D">
      <w:pPr>
        <w:pStyle w:val="ListParagraph"/>
        <w:numPr>
          <w:ilvl w:val="0"/>
          <w:numId w:val="28"/>
        </w:numPr>
        <w:spacing w:after="0" w:line="264" w:lineRule="auto"/>
        <w:ind w:left="567" w:hanging="283"/>
      </w:pPr>
      <w:r w:rsidRPr="0020612F">
        <w:t>assist staff in moving people from beds to chairs</w:t>
      </w:r>
    </w:p>
    <w:p w:rsidR="0068702D" w:rsidRPr="0020612F" w:rsidRDefault="0068702D" w:rsidP="0068702D">
      <w:pPr>
        <w:pStyle w:val="ListParagraph"/>
        <w:numPr>
          <w:ilvl w:val="0"/>
          <w:numId w:val="28"/>
        </w:numPr>
        <w:spacing w:after="0" w:line="264" w:lineRule="auto"/>
        <w:ind w:left="567" w:hanging="283"/>
      </w:pPr>
      <w:r w:rsidRPr="0020612F">
        <w:t xml:space="preserve">write in clinical or care case notes </w:t>
      </w:r>
    </w:p>
    <w:p w:rsidR="0068702D" w:rsidRPr="0020612F" w:rsidRDefault="0068702D" w:rsidP="0068702D">
      <w:pPr>
        <w:pStyle w:val="ListParagraph"/>
        <w:numPr>
          <w:ilvl w:val="0"/>
          <w:numId w:val="28"/>
        </w:numPr>
        <w:spacing w:after="0" w:line="264" w:lineRule="auto"/>
        <w:ind w:left="567" w:hanging="283"/>
      </w:pPr>
      <w:r w:rsidRPr="0020612F">
        <w:t xml:space="preserve">have access to clinical or care case notes </w:t>
      </w:r>
    </w:p>
    <w:p w:rsidR="0068702D" w:rsidRPr="0020612F" w:rsidRDefault="0068702D" w:rsidP="0068702D">
      <w:pPr>
        <w:pStyle w:val="ListParagraph"/>
        <w:numPr>
          <w:ilvl w:val="0"/>
          <w:numId w:val="28"/>
        </w:numPr>
        <w:spacing w:after="0" w:line="264" w:lineRule="auto"/>
        <w:ind w:left="567" w:hanging="283"/>
      </w:pPr>
      <w:r w:rsidRPr="0020612F">
        <w:t>use Information Technology except where terminals have been provided for patient/service user access or internet purposes</w:t>
      </w:r>
    </w:p>
    <w:p w:rsidR="0068702D" w:rsidRPr="0020612F" w:rsidRDefault="0068702D" w:rsidP="0068702D">
      <w:pPr>
        <w:pStyle w:val="ListParagraph"/>
        <w:numPr>
          <w:ilvl w:val="0"/>
          <w:numId w:val="28"/>
        </w:numPr>
        <w:spacing w:after="0" w:line="264" w:lineRule="auto"/>
        <w:ind w:left="567" w:hanging="283"/>
      </w:pPr>
      <w:r w:rsidRPr="0020612F">
        <w:t>carry out clerical tasks which provide access to patient identifiable information</w:t>
      </w:r>
    </w:p>
    <w:p w:rsidR="0068702D" w:rsidRPr="0020612F" w:rsidRDefault="0068702D" w:rsidP="0068702D">
      <w:pPr>
        <w:pStyle w:val="ListParagraph"/>
        <w:numPr>
          <w:ilvl w:val="0"/>
          <w:numId w:val="28"/>
        </w:numPr>
        <w:spacing w:after="0" w:line="264" w:lineRule="auto"/>
        <w:ind w:left="567" w:hanging="283"/>
      </w:pPr>
      <w:r w:rsidRPr="0020612F">
        <w:t>clear up spills which may be body fluids, and</w:t>
      </w:r>
    </w:p>
    <w:p w:rsidR="0068702D" w:rsidRPr="0020612F" w:rsidRDefault="0068702D" w:rsidP="0068702D">
      <w:pPr>
        <w:pStyle w:val="ListParagraph"/>
        <w:numPr>
          <w:ilvl w:val="0"/>
          <w:numId w:val="28"/>
        </w:numPr>
        <w:spacing w:after="0" w:line="264" w:lineRule="auto"/>
        <w:ind w:left="567" w:hanging="283"/>
      </w:pPr>
      <w:proofErr w:type="gramStart"/>
      <w:r w:rsidRPr="0020612F">
        <w:t>handle</w:t>
      </w:r>
      <w:proofErr w:type="gramEnd"/>
      <w:r w:rsidRPr="0020612F">
        <w:t xml:space="preserve"> people’s money. </w:t>
      </w:r>
    </w:p>
    <w:p w:rsidR="0020612F" w:rsidRDefault="0020612F" w:rsidP="0020612F">
      <w:pPr>
        <w:rPr>
          <w:b/>
          <w:sz w:val="24"/>
          <w:szCs w:val="24"/>
        </w:rPr>
      </w:pPr>
    </w:p>
    <w:p w:rsidR="0068702D" w:rsidRPr="0020612F" w:rsidRDefault="0068702D" w:rsidP="0020612F">
      <w:pPr>
        <w:rPr>
          <w:sz w:val="24"/>
          <w:szCs w:val="24"/>
        </w:rPr>
      </w:pPr>
      <w:r w:rsidRPr="0020612F">
        <w:rPr>
          <w:b/>
          <w:sz w:val="24"/>
          <w:szCs w:val="24"/>
        </w:rPr>
        <w:t>If there is an intention to develop a role that includes any of the above points, it is imperative that engagement takes place with the appropriate staff representative bodies, regardless of whether the staff requesting the role have deemed it an acceptable role.</w:t>
      </w:r>
    </w:p>
    <w:p w:rsidR="0068702D" w:rsidRPr="0020612F" w:rsidRDefault="0068702D">
      <w:pPr>
        <w:spacing w:after="0" w:line="240" w:lineRule="auto"/>
        <w:rPr>
          <w:b/>
        </w:rPr>
      </w:pPr>
      <w:r w:rsidRPr="0020612F">
        <w:rPr>
          <w:b/>
        </w:rPr>
        <w:br w:type="page"/>
      </w:r>
    </w:p>
    <w:p w:rsidR="0068702D" w:rsidRPr="0020612F" w:rsidRDefault="0068702D" w:rsidP="0068702D">
      <w:pPr>
        <w:jc w:val="center"/>
        <w:rPr>
          <w:b/>
          <w:sz w:val="28"/>
          <w:szCs w:val="28"/>
        </w:rPr>
      </w:pPr>
      <w:r w:rsidRPr="0020612F">
        <w:rPr>
          <w:b/>
          <w:sz w:val="28"/>
          <w:szCs w:val="28"/>
        </w:rPr>
        <w:t>Checklist for designing volunteer roles</w:t>
      </w:r>
    </w:p>
    <w:tbl>
      <w:tblPr>
        <w:tblStyle w:val="TableGrid"/>
        <w:tblW w:w="10628" w:type="dxa"/>
        <w:tblInd w:w="-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8"/>
      </w:tblGrid>
      <w:tr w:rsidR="0068702D" w:rsidRPr="0020612F" w:rsidTr="0068702D">
        <w:trPr>
          <w:cantSplit/>
          <w:trHeight w:val="309"/>
        </w:trPr>
        <w:tc>
          <w:tcPr>
            <w:tcW w:w="10628" w:type="dxa"/>
            <w:tcBorders>
              <w:top w:val="single" w:sz="24" w:space="0" w:color="5F497A" w:themeColor="accent4" w:themeShade="BF"/>
              <w:left w:val="single" w:sz="24" w:space="0" w:color="5F497A" w:themeColor="accent4" w:themeShade="BF"/>
              <w:bottom w:val="single" w:sz="24" w:space="0" w:color="5F497A" w:themeColor="accent4" w:themeShade="BF"/>
              <w:right w:val="single" w:sz="24" w:space="0" w:color="5F497A" w:themeColor="accent4" w:themeShade="BF"/>
            </w:tcBorders>
            <w:shd w:val="clear" w:color="auto" w:fill="CCC0D9" w:themeFill="accent4" w:themeFillTint="66"/>
            <w:vAlign w:val="center"/>
          </w:tcPr>
          <w:p w:rsidR="0068702D" w:rsidRPr="0020612F" w:rsidRDefault="0068702D" w:rsidP="0068702D">
            <w:pPr>
              <w:numPr>
                <w:ilvl w:val="0"/>
                <w:numId w:val="29"/>
              </w:numPr>
              <w:spacing w:after="0" w:line="264" w:lineRule="auto"/>
              <w:rPr>
                <w:b/>
              </w:rPr>
            </w:pPr>
            <w:r w:rsidRPr="0020612F">
              <w:rPr>
                <w:b/>
              </w:rPr>
              <w:t>How does the role meet organisational need, the needs of prospective volunteers and, where relevant, contribute to person-centred care?</w:t>
            </w:r>
          </w:p>
        </w:tc>
      </w:tr>
      <w:tr w:rsidR="0068702D" w:rsidRPr="0020612F" w:rsidTr="0068702D">
        <w:trPr>
          <w:cantSplit/>
          <w:trHeight w:val="2551"/>
        </w:trPr>
        <w:tc>
          <w:tcPr>
            <w:tcW w:w="10628" w:type="dxa"/>
            <w:tcBorders>
              <w:top w:val="single" w:sz="24" w:space="0" w:color="5F497A" w:themeColor="accent4" w:themeShade="BF"/>
              <w:left w:val="single" w:sz="24" w:space="0" w:color="5F497A" w:themeColor="accent4" w:themeShade="BF"/>
              <w:bottom w:val="single" w:sz="24" w:space="0" w:color="5F497A" w:themeColor="accent4" w:themeShade="BF"/>
              <w:right w:val="single" w:sz="24" w:space="0" w:color="5F497A" w:themeColor="accent4" w:themeShade="BF"/>
            </w:tcBorders>
            <w:shd w:val="clear" w:color="auto" w:fill="auto"/>
          </w:tcPr>
          <w:p w:rsidR="0068702D" w:rsidRPr="0020612F" w:rsidRDefault="0068702D" w:rsidP="00570652">
            <w:pPr>
              <w:spacing w:after="0"/>
            </w:pPr>
          </w:p>
        </w:tc>
      </w:tr>
      <w:tr w:rsidR="0068702D" w:rsidRPr="0020612F" w:rsidTr="0068702D">
        <w:trPr>
          <w:cantSplit/>
          <w:trHeight w:val="56"/>
        </w:trPr>
        <w:tc>
          <w:tcPr>
            <w:tcW w:w="10628" w:type="dxa"/>
            <w:tcBorders>
              <w:top w:val="single" w:sz="24" w:space="0" w:color="5F497A" w:themeColor="accent4" w:themeShade="BF"/>
              <w:bottom w:val="single" w:sz="24" w:space="0" w:color="5F497A" w:themeColor="accent4" w:themeShade="BF"/>
            </w:tcBorders>
            <w:shd w:val="clear" w:color="auto" w:fill="auto"/>
            <w:vAlign w:val="center"/>
          </w:tcPr>
          <w:p w:rsidR="0068702D" w:rsidRPr="0020612F" w:rsidRDefault="0068702D" w:rsidP="00570652">
            <w:pPr>
              <w:spacing w:after="0"/>
            </w:pPr>
          </w:p>
        </w:tc>
      </w:tr>
      <w:tr w:rsidR="0068702D" w:rsidRPr="0020612F" w:rsidTr="0068702D">
        <w:trPr>
          <w:cantSplit/>
          <w:trHeight w:val="56"/>
        </w:trPr>
        <w:tc>
          <w:tcPr>
            <w:tcW w:w="10628" w:type="dxa"/>
            <w:tcBorders>
              <w:top w:val="single" w:sz="24" w:space="0" w:color="5F497A" w:themeColor="accent4" w:themeShade="BF"/>
              <w:left w:val="single" w:sz="24" w:space="0" w:color="5F497A" w:themeColor="accent4" w:themeShade="BF"/>
              <w:bottom w:val="single" w:sz="24" w:space="0" w:color="5F497A" w:themeColor="accent4" w:themeShade="BF"/>
              <w:right w:val="single" w:sz="24" w:space="0" w:color="5F497A" w:themeColor="accent4" w:themeShade="BF"/>
            </w:tcBorders>
            <w:shd w:val="clear" w:color="auto" w:fill="CCC0D9" w:themeFill="accent4" w:themeFillTint="66"/>
            <w:vAlign w:val="center"/>
          </w:tcPr>
          <w:p w:rsidR="0068702D" w:rsidRPr="0020612F" w:rsidRDefault="0068702D" w:rsidP="0068702D">
            <w:pPr>
              <w:numPr>
                <w:ilvl w:val="0"/>
                <w:numId w:val="29"/>
              </w:numPr>
              <w:spacing w:after="0" w:line="264" w:lineRule="auto"/>
              <w:rPr>
                <w:b/>
              </w:rPr>
            </w:pPr>
            <w:r w:rsidRPr="0020612F">
              <w:rPr>
                <w:b/>
              </w:rPr>
              <w:t>What engagement has taken place with existing third sector agencies to ensure there is no duplication of effort?</w:t>
            </w:r>
          </w:p>
        </w:tc>
      </w:tr>
      <w:tr w:rsidR="0068702D" w:rsidRPr="0020612F" w:rsidTr="0068702D">
        <w:trPr>
          <w:cantSplit/>
          <w:trHeight w:val="2551"/>
        </w:trPr>
        <w:tc>
          <w:tcPr>
            <w:tcW w:w="10628" w:type="dxa"/>
            <w:tcBorders>
              <w:top w:val="single" w:sz="24" w:space="0" w:color="5F497A" w:themeColor="accent4" w:themeShade="BF"/>
              <w:left w:val="single" w:sz="24" w:space="0" w:color="5F497A" w:themeColor="accent4" w:themeShade="BF"/>
              <w:bottom w:val="single" w:sz="24" w:space="0" w:color="5F497A" w:themeColor="accent4" w:themeShade="BF"/>
              <w:right w:val="single" w:sz="24" w:space="0" w:color="5F497A" w:themeColor="accent4" w:themeShade="BF"/>
            </w:tcBorders>
            <w:shd w:val="clear" w:color="auto" w:fill="auto"/>
            <w:vAlign w:val="center"/>
          </w:tcPr>
          <w:p w:rsidR="0068702D" w:rsidRPr="0020612F" w:rsidRDefault="0068702D" w:rsidP="00570652">
            <w:pPr>
              <w:spacing w:after="0"/>
            </w:pPr>
          </w:p>
        </w:tc>
      </w:tr>
      <w:tr w:rsidR="0068702D" w:rsidRPr="0020612F" w:rsidTr="0068702D">
        <w:trPr>
          <w:cantSplit/>
          <w:trHeight w:val="56"/>
        </w:trPr>
        <w:tc>
          <w:tcPr>
            <w:tcW w:w="10628" w:type="dxa"/>
            <w:tcBorders>
              <w:top w:val="single" w:sz="24" w:space="0" w:color="5F497A" w:themeColor="accent4" w:themeShade="BF"/>
              <w:bottom w:val="single" w:sz="24" w:space="0" w:color="5F497A" w:themeColor="accent4" w:themeShade="BF"/>
            </w:tcBorders>
            <w:shd w:val="clear" w:color="auto" w:fill="auto"/>
            <w:vAlign w:val="center"/>
          </w:tcPr>
          <w:p w:rsidR="0068702D" w:rsidRPr="0020612F" w:rsidRDefault="0068702D" w:rsidP="00570652">
            <w:pPr>
              <w:spacing w:after="0"/>
            </w:pPr>
          </w:p>
        </w:tc>
      </w:tr>
      <w:tr w:rsidR="0068702D" w:rsidRPr="0020612F" w:rsidTr="0068702D">
        <w:trPr>
          <w:cantSplit/>
          <w:trHeight w:val="56"/>
        </w:trPr>
        <w:tc>
          <w:tcPr>
            <w:tcW w:w="10628" w:type="dxa"/>
            <w:tcBorders>
              <w:top w:val="single" w:sz="24" w:space="0" w:color="5F497A" w:themeColor="accent4" w:themeShade="BF"/>
              <w:left w:val="single" w:sz="24" w:space="0" w:color="5F497A" w:themeColor="accent4" w:themeShade="BF"/>
              <w:bottom w:val="single" w:sz="24" w:space="0" w:color="5F497A" w:themeColor="accent4" w:themeShade="BF"/>
              <w:right w:val="single" w:sz="24" w:space="0" w:color="5F497A" w:themeColor="accent4" w:themeShade="BF"/>
            </w:tcBorders>
            <w:shd w:val="clear" w:color="auto" w:fill="CCC0D9" w:themeFill="accent4" w:themeFillTint="66"/>
            <w:vAlign w:val="center"/>
          </w:tcPr>
          <w:p w:rsidR="0068702D" w:rsidRPr="0020612F" w:rsidRDefault="0068702D" w:rsidP="0068702D">
            <w:pPr>
              <w:numPr>
                <w:ilvl w:val="0"/>
                <w:numId w:val="29"/>
              </w:numPr>
              <w:spacing w:after="0" w:line="264" w:lineRule="auto"/>
              <w:rPr>
                <w:b/>
              </w:rPr>
            </w:pPr>
            <w:r w:rsidRPr="0020612F">
              <w:rPr>
                <w:b/>
              </w:rPr>
              <w:t>Who has been identified as a supervisor or manager of the volunteer role?</w:t>
            </w:r>
          </w:p>
        </w:tc>
      </w:tr>
      <w:tr w:rsidR="0068702D" w:rsidRPr="0020612F" w:rsidTr="0068702D">
        <w:trPr>
          <w:cantSplit/>
          <w:trHeight w:val="2551"/>
        </w:trPr>
        <w:tc>
          <w:tcPr>
            <w:tcW w:w="10628" w:type="dxa"/>
            <w:tcBorders>
              <w:top w:val="single" w:sz="24" w:space="0" w:color="5F497A" w:themeColor="accent4" w:themeShade="BF"/>
              <w:left w:val="single" w:sz="24" w:space="0" w:color="5F497A" w:themeColor="accent4" w:themeShade="BF"/>
              <w:bottom w:val="single" w:sz="24" w:space="0" w:color="5F497A" w:themeColor="accent4" w:themeShade="BF"/>
              <w:right w:val="single" w:sz="24" w:space="0" w:color="5F497A" w:themeColor="accent4" w:themeShade="BF"/>
            </w:tcBorders>
            <w:shd w:val="clear" w:color="auto" w:fill="auto"/>
          </w:tcPr>
          <w:p w:rsidR="0068702D" w:rsidRPr="0020612F" w:rsidRDefault="0068702D" w:rsidP="00570652">
            <w:pPr>
              <w:spacing w:after="0"/>
            </w:pPr>
          </w:p>
        </w:tc>
      </w:tr>
      <w:tr w:rsidR="0068702D" w:rsidRPr="0020612F" w:rsidTr="0068702D">
        <w:trPr>
          <w:cantSplit/>
          <w:trHeight w:val="56"/>
        </w:trPr>
        <w:tc>
          <w:tcPr>
            <w:tcW w:w="10628" w:type="dxa"/>
            <w:tcBorders>
              <w:top w:val="single" w:sz="24" w:space="0" w:color="5F497A" w:themeColor="accent4" w:themeShade="BF"/>
              <w:bottom w:val="single" w:sz="24" w:space="0" w:color="5F497A" w:themeColor="accent4" w:themeShade="BF"/>
            </w:tcBorders>
            <w:shd w:val="clear" w:color="auto" w:fill="auto"/>
            <w:vAlign w:val="center"/>
          </w:tcPr>
          <w:p w:rsidR="0068702D" w:rsidRPr="0020612F" w:rsidRDefault="0068702D" w:rsidP="00570652">
            <w:pPr>
              <w:spacing w:after="0"/>
            </w:pPr>
          </w:p>
        </w:tc>
      </w:tr>
      <w:tr w:rsidR="0068702D" w:rsidRPr="0020612F" w:rsidTr="0068702D">
        <w:trPr>
          <w:cantSplit/>
          <w:trHeight w:val="56"/>
        </w:trPr>
        <w:tc>
          <w:tcPr>
            <w:tcW w:w="10628" w:type="dxa"/>
            <w:tcBorders>
              <w:top w:val="single" w:sz="24" w:space="0" w:color="5F497A" w:themeColor="accent4" w:themeShade="BF"/>
              <w:left w:val="single" w:sz="24" w:space="0" w:color="5F497A" w:themeColor="accent4" w:themeShade="BF"/>
              <w:bottom w:val="single" w:sz="24" w:space="0" w:color="5F497A" w:themeColor="accent4" w:themeShade="BF"/>
              <w:right w:val="single" w:sz="24" w:space="0" w:color="5F497A" w:themeColor="accent4" w:themeShade="BF"/>
            </w:tcBorders>
            <w:shd w:val="clear" w:color="auto" w:fill="CCC0D9" w:themeFill="accent4" w:themeFillTint="66"/>
            <w:vAlign w:val="center"/>
          </w:tcPr>
          <w:p w:rsidR="0068702D" w:rsidRPr="0020612F" w:rsidRDefault="0068702D" w:rsidP="0068702D">
            <w:pPr>
              <w:numPr>
                <w:ilvl w:val="0"/>
                <w:numId w:val="29"/>
              </w:numPr>
              <w:spacing w:after="0" w:line="264" w:lineRule="auto"/>
              <w:rPr>
                <w:b/>
              </w:rPr>
            </w:pPr>
            <w:r w:rsidRPr="0020612F">
              <w:rPr>
                <w:b/>
              </w:rPr>
              <w:t>What resources have been identified to provide volunteer expenses?</w:t>
            </w:r>
          </w:p>
        </w:tc>
      </w:tr>
      <w:tr w:rsidR="0068702D" w:rsidRPr="0020612F" w:rsidTr="0020612F">
        <w:trPr>
          <w:cantSplit/>
          <w:trHeight w:val="2957"/>
        </w:trPr>
        <w:tc>
          <w:tcPr>
            <w:tcW w:w="10628" w:type="dxa"/>
            <w:tcBorders>
              <w:top w:val="single" w:sz="24" w:space="0" w:color="5F497A" w:themeColor="accent4" w:themeShade="BF"/>
              <w:left w:val="single" w:sz="24" w:space="0" w:color="5F497A" w:themeColor="accent4" w:themeShade="BF"/>
              <w:bottom w:val="single" w:sz="24" w:space="0" w:color="5F497A" w:themeColor="accent4" w:themeShade="BF"/>
              <w:right w:val="single" w:sz="24" w:space="0" w:color="5F497A" w:themeColor="accent4" w:themeShade="BF"/>
            </w:tcBorders>
            <w:shd w:val="clear" w:color="auto" w:fill="auto"/>
          </w:tcPr>
          <w:p w:rsidR="0068702D" w:rsidRPr="0020612F" w:rsidRDefault="0068702D" w:rsidP="00570652">
            <w:pPr>
              <w:spacing w:after="0"/>
            </w:pPr>
          </w:p>
        </w:tc>
      </w:tr>
      <w:tr w:rsidR="0068702D" w:rsidRPr="0020612F" w:rsidTr="0068702D">
        <w:trPr>
          <w:cantSplit/>
          <w:trHeight w:val="56"/>
        </w:trPr>
        <w:tc>
          <w:tcPr>
            <w:tcW w:w="10628" w:type="dxa"/>
            <w:tcBorders>
              <w:top w:val="single" w:sz="24" w:space="0" w:color="5F497A" w:themeColor="accent4" w:themeShade="BF"/>
              <w:left w:val="single" w:sz="24" w:space="0" w:color="5F497A" w:themeColor="accent4" w:themeShade="BF"/>
              <w:bottom w:val="single" w:sz="24" w:space="0" w:color="5F497A" w:themeColor="accent4" w:themeShade="BF"/>
              <w:right w:val="single" w:sz="24" w:space="0" w:color="5F497A" w:themeColor="accent4" w:themeShade="BF"/>
            </w:tcBorders>
            <w:shd w:val="clear" w:color="auto" w:fill="CCC0D9" w:themeFill="accent4" w:themeFillTint="66"/>
            <w:vAlign w:val="center"/>
          </w:tcPr>
          <w:p w:rsidR="0068702D" w:rsidRPr="0020612F" w:rsidRDefault="0068702D" w:rsidP="0068702D">
            <w:pPr>
              <w:numPr>
                <w:ilvl w:val="0"/>
                <w:numId w:val="29"/>
              </w:numPr>
              <w:spacing w:after="0" w:line="264" w:lineRule="auto"/>
              <w:rPr>
                <w:b/>
              </w:rPr>
            </w:pPr>
            <w:r w:rsidRPr="0020612F">
              <w:rPr>
                <w:b/>
              </w:rPr>
              <w:t>Is the role covered by the organisation’s insurance framework?</w:t>
            </w:r>
          </w:p>
        </w:tc>
      </w:tr>
      <w:tr w:rsidR="0068702D" w:rsidRPr="0020612F" w:rsidTr="0068702D">
        <w:trPr>
          <w:cantSplit/>
          <w:trHeight w:val="2551"/>
        </w:trPr>
        <w:tc>
          <w:tcPr>
            <w:tcW w:w="10628" w:type="dxa"/>
            <w:tcBorders>
              <w:top w:val="single" w:sz="24" w:space="0" w:color="5F497A" w:themeColor="accent4" w:themeShade="BF"/>
              <w:left w:val="single" w:sz="24" w:space="0" w:color="5F497A" w:themeColor="accent4" w:themeShade="BF"/>
              <w:bottom w:val="single" w:sz="24" w:space="0" w:color="5F497A" w:themeColor="accent4" w:themeShade="BF"/>
              <w:right w:val="single" w:sz="24" w:space="0" w:color="5F497A" w:themeColor="accent4" w:themeShade="BF"/>
            </w:tcBorders>
            <w:shd w:val="clear" w:color="auto" w:fill="auto"/>
          </w:tcPr>
          <w:p w:rsidR="0068702D" w:rsidRPr="0020612F" w:rsidRDefault="0068702D" w:rsidP="00570652">
            <w:pPr>
              <w:spacing w:after="0"/>
            </w:pPr>
          </w:p>
        </w:tc>
      </w:tr>
      <w:tr w:rsidR="0068702D" w:rsidRPr="0020612F" w:rsidTr="0068702D">
        <w:trPr>
          <w:cantSplit/>
          <w:trHeight w:val="56"/>
        </w:trPr>
        <w:tc>
          <w:tcPr>
            <w:tcW w:w="10628" w:type="dxa"/>
            <w:tcBorders>
              <w:top w:val="single" w:sz="24" w:space="0" w:color="5F497A" w:themeColor="accent4" w:themeShade="BF"/>
              <w:bottom w:val="single" w:sz="24" w:space="0" w:color="5F497A" w:themeColor="accent4" w:themeShade="BF"/>
            </w:tcBorders>
            <w:shd w:val="clear" w:color="auto" w:fill="auto"/>
            <w:vAlign w:val="center"/>
          </w:tcPr>
          <w:p w:rsidR="0068702D" w:rsidRPr="0020612F" w:rsidRDefault="0068702D" w:rsidP="00570652">
            <w:pPr>
              <w:spacing w:after="0"/>
            </w:pPr>
          </w:p>
        </w:tc>
      </w:tr>
      <w:tr w:rsidR="0068702D" w:rsidRPr="0020612F" w:rsidTr="0068702D">
        <w:trPr>
          <w:cantSplit/>
          <w:trHeight w:val="56"/>
        </w:trPr>
        <w:tc>
          <w:tcPr>
            <w:tcW w:w="10628" w:type="dxa"/>
            <w:tcBorders>
              <w:top w:val="single" w:sz="24" w:space="0" w:color="5F497A" w:themeColor="accent4" w:themeShade="BF"/>
              <w:left w:val="single" w:sz="24" w:space="0" w:color="5F497A" w:themeColor="accent4" w:themeShade="BF"/>
              <w:bottom w:val="single" w:sz="24" w:space="0" w:color="5F497A" w:themeColor="accent4" w:themeShade="BF"/>
              <w:right w:val="single" w:sz="24" w:space="0" w:color="5F497A" w:themeColor="accent4" w:themeShade="BF"/>
            </w:tcBorders>
            <w:shd w:val="clear" w:color="auto" w:fill="CCC0D9" w:themeFill="accent4" w:themeFillTint="66"/>
            <w:vAlign w:val="center"/>
          </w:tcPr>
          <w:p w:rsidR="0068702D" w:rsidRPr="0020612F" w:rsidRDefault="0068702D" w:rsidP="0068702D">
            <w:pPr>
              <w:numPr>
                <w:ilvl w:val="0"/>
                <w:numId w:val="29"/>
              </w:numPr>
              <w:spacing w:after="0" w:line="264" w:lineRule="auto"/>
              <w:rPr>
                <w:b/>
              </w:rPr>
            </w:pPr>
            <w:r w:rsidRPr="0020612F">
              <w:rPr>
                <w:b/>
              </w:rPr>
              <w:t>How have staff, and where relevant, patients and the public been involved in the design of the role?</w:t>
            </w:r>
          </w:p>
        </w:tc>
      </w:tr>
      <w:tr w:rsidR="0068702D" w:rsidRPr="0020612F" w:rsidTr="0068702D">
        <w:trPr>
          <w:cantSplit/>
          <w:trHeight w:val="2551"/>
        </w:trPr>
        <w:tc>
          <w:tcPr>
            <w:tcW w:w="10628" w:type="dxa"/>
            <w:tcBorders>
              <w:top w:val="single" w:sz="24" w:space="0" w:color="5F497A" w:themeColor="accent4" w:themeShade="BF"/>
              <w:left w:val="single" w:sz="24" w:space="0" w:color="5F497A" w:themeColor="accent4" w:themeShade="BF"/>
              <w:bottom w:val="single" w:sz="24" w:space="0" w:color="5F497A" w:themeColor="accent4" w:themeShade="BF"/>
              <w:right w:val="single" w:sz="24" w:space="0" w:color="5F497A" w:themeColor="accent4" w:themeShade="BF"/>
            </w:tcBorders>
            <w:shd w:val="clear" w:color="auto" w:fill="auto"/>
          </w:tcPr>
          <w:p w:rsidR="0068702D" w:rsidRPr="0020612F" w:rsidRDefault="0068702D" w:rsidP="00570652">
            <w:pPr>
              <w:spacing w:after="0"/>
            </w:pPr>
          </w:p>
        </w:tc>
      </w:tr>
      <w:tr w:rsidR="0068702D" w:rsidRPr="0020612F" w:rsidTr="0068702D">
        <w:trPr>
          <w:cantSplit/>
          <w:trHeight w:val="56"/>
        </w:trPr>
        <w:tc>
          <w:tcPr>
            <w:tcW w:w="10628" w:type="dxa"/>
            <w:tcBorders>
              <w:top w:val="single" w:sz="24" w:space="0" w:color="5F497A" w:themeColor="accent4" w:themeShade="BF"/>
              <w:bottom w:val="single" w:sz="24" w:space="0" w:color="5F497A" w:themeColor="accent4" w:themeShade="BF"/>
            </w:tcBorders>
            <w:shd w:val="clear" w:color="auto" w:fill="auto"/>
            <w:vAlign w:val="center"/>
          </w:tcPr>
          <w:p w:rsidR="0068702D" w:rsidRPr="0020612F" w:rsidRDefault="0068702D" w:rsidP="00570652">
            <w:pPr>
              <w:spacing w:after="0"/>
            </w:pPr>
          </w:p>
        </w:tc>
      </w:tr>
      <w:tr w:rsidR="0068702D" w:rsidRPr="0020612F" w:rsidTr="0068702D">
        <w:trPr>
          <w:cantSplit/>
          <w:trHeight w:val="56"/>
        </w:trPr>
        <w:tc>
          <w:tcPr>
            <w:tcW w:w="10628" w:type="dxa"/>
            <w:tcBorders>
              <w:top w:val="single" w:sz="24" w:space="0" w:color="5F497A" w:themeColor="accent4" w:themeShade="BF"/>
              <w:left w:val="single" w:sz="24" w:space="0" w:color="5F497A" w:themeColor="accent4" w:themeShade="BF"/>
              <w:bottom w:val="single" w:sz="24" w:space="0" w:color="5F497A" w:themeColor="accent4" w:themeShade="BF"/>
              <w:right w:val="single" w:sz="24" w:space="0" w:color="5F497A" w:themeColor="accent4" w:themeShade="BF"/>
            </w:tcBorders>
            <w:shd w:val="clear" w:color="auto" w:fill="CCC0D9" w:themeFill="accent4" w:themeFillTint="66"/>
            <w:vAlign w:val="center"/>
          </w:tcPr>
          <w:p w:rsidR="0068702D" w:rsidRPr="0020612F" w:rsidRDefault="0068702D" w:rsidP="0068702D">
            <w:pPr>
              <w:numPr>
                <w:ilvl w:val="0"/>
                <w:numId w:val="29"/>
              </w:numPr>
              <w:spacing w:after="0" w:line="264" w:lineRule="auto"/>
              <w:rPr>
                <w:b/>
              </w:rPr>
            </w:pPr>
            <w:r w:rsidRPr="0020612F">
              <w:rPr>
                <w:b/>
              </w:rPr>
              <w:t>How does the role differ from the roles of paid staff?</w:t>
            </w:r>
          </w:p>
        </w:tc>
      </w:tr>
      <w:tr w:rsidR="0068702D" w:rsidRPr="0020612F" w:rsidTr="0068702D">
        <w:trPr>
          <w:cantSplit/>
          <w:trHeight w:val="2551"/>
        </w:trPr>
        <w:tc>
          <w:tcPr>
            <w:tcW w:w="10628" w:type="dxa"/>
            <w:tcBorders>
              <w:top w:val="single" w:sz="24" w:space="0" w:color="5F497A" w:themeColor="accent4" w:themeShade="BF"/>
              <w:left w:val="single" w:sz="24" w:space="0" w:color="5F497A" w:themeColor="accent4" w:themeShade="BF"/>
              <w:bottom w:val="single" w:sz="24" w:space="0" w:color="5F497A" w:themeColor="accent4" w:themeShade="BF"/>
              <w:right w:val="single" w:sz="24" w:space="0" w:color="5F497A" w:themeColor="accent4" w:themeShade="BF"/>
            </w:tcBorders>
            <w:shd w:val="clear" w:color="auto" w:fill="auto"/>
          </w:tcPr>
          <w:p w:rsidR="0068702D" w:rsidRPr="0020612F" w:rsidRDefault="0068702D" w:rsidP="00570652">
            <w:pPr>
              <w:spacing w:after="0"/>
            </w:pPr>
          </w:p>
        </w:tc>
      </w:tr>
      <w:tr w:rsidR="0068702D" w:rsidRPr="0020612F" w:rsidTr="0068702D">
        <w:trPr>
          <w:cantSplit/>
          <w:trHeight w:val="219"/>
        </w:trPr>
        <w:tc>
          <w:tcPr>
            <w:tcW w:w="10628" w:type="dxa"/>
            <w:tcBorders>
              <w:top w:val="single" w:sz="24" w:space="0" w:color="5F497A" w:themeColor="accent4" w:themeShade="BF"/>
              <w:bottom w:val="single" w:sz="24" w:space="0" w:color="5F497A" w:themeColor="accent4" w:themeShade="BF"/>
            </w:tcBorders>
            <w:shd w:val="clear" w:color="auto" w:fill="auto"/>
            <w:vAlign w:val="center"/>
          </w:tcPr>
          <w:p w:rsidR="0068702D" w:rsidRPr="0020612F" w:rsidRDefault="0068702D" w:rsidP="00570652">
            <w:pPr>
              <w:spacing w:after="0"/>
            </w:pPr>
          </w:p>
        </w:tc>
      </w:tr>
      <w:tr w:rsidR="0068702D" w:rsidRPr="0020612F" w:rsidTr="0068702D">
        <w:trPr>
          <w:cantSplit/>
          <w:trHeight w:val="219"/>
        </w:trPr>
        <w:tc>
          <w:tcPr>
            <w:tcW w:w="10628" w:type="dxa"/>
            <w:tcBorders>
              <w:top w:val="single" w:sz="24" w:space="0" w:color="5F497A" w:themeColor="accent4" w:themeShade="BF"/>
              <w:left w:val="single" w:sz="24" w:space="0" w:color="5F497A" w:themeColor="accent4" w:themeShade="BF"/>
              <w:bottom w:val="single" w:sz="24" w:space="0" w:color="5F497A" w:themeColor="accent4" w:themeShade="BF"/>
              <w:right w:val="single" w:sz="24" w:space="0" w:color="5F497A" w:themeColor="accent4" w:themeShade="BF"/>
            </w:tcBorders>
            <w:shd w:val="clear" w:color="auto" w:fill="CCC0D9" w:themeFill="accent4" w:themeFillTint="66"/>
            <w:vAlign w:val="center"/>
          </w:tcPr>
          <w:p w:rsidR="0068702D" w:rsidRPr="0020612F" w:rsidRDefault="0068702D" w:rsidP="0068702D">
            <w:pPr>
              <w:numPr>
                <w:ilvl w:val="0"/>
                <w:numId w:val="29"/>
              </w:numPr>
              <w:spacing w:after="0" w:line="264" w:lineRule="auto"/>
              <w:rPr>
                <w:b/>
              </w:rPr>
            </w:pPr>
            <w:r w:rsidRPr="0020612F">
              <w:rPr>
                <w:b/>
              </w:rPr>
              <w:t>Does the content of the proposed role fall comfortably outside the list of duties that should not be undertaken without specific training and local agreement?</w:t>
            </w:r>
          </w:p>
        </w:tc>
      </w:tr>
      <w:tr w:rsidR="0068702D" w:rsidRPr="0020612F" w:rsidTr="0068702D">
        <w:trPr>
          <w:cantSplit/>
          <w:trHeight w:val="2551"/>
        </w:trPr>
        <w:tc>
          <w:tcPr>
            <w:tcW w:w="10628" w:type="dxa"/>
            <w:tcBorders>
              <w:top w:val="single" w:sz="24" w:space="0" w:color="5F497A" w:themeColor="accent4" w:themeShade="BF"/>
              <w:left w:val="single" w:sz="24" w:space="0" w:color="5F497A" w:themeColor="accent4" w:themeShade="BF"/>
              <w:bottom w:val="single" w:sz="24" w:space="0" w:color="5F497A" w:themeColor="accent4" w:themeShade="BF"/>
              <w:right w:val="single" w:sz="24" w:space="0" w:color="5F497A" w:themeColor="accent4" w:themeShade="BF"/>
            </w:tcBorders>
            <w:shd w:val="clear" w:color="auto" w:fill="auto"/>
          </w:tcPr>
          <w:p w:rsidR="0068702D" w:rsidRPr="0020612F" w:rsidRDefault="0068702D" w:rsidP="00570652">
            <w:pPr>
              <w:spacing w:after="0"/>
            </w:pPr>
          </w:p>
        </w:tc>
      </w:tr>
    </w:tbl>
    <w:p w:rsidR="006166BE" w:rsidRPr="0020612F" w:rsidRDefault="006166BE" w:rsidP="00F40550"/>
    <w:sectPr w:rsidR="006166BE" w:rsidRPr="0020612F" w:rsidSect="000B3B93">
      <w:footerReference w:type="default" r:id="rId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132" w:rsidRDefault="00D73132">
      <w:r>
        <w:separator/>
      </w:r>
    </w:p>
  </w:endnote>
  <w:endnote w:type="continuationSeparator" w:id="0">
    <w:p w:rsidR="00D73132" w:rsidRDefault="00D7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D69" w:rsidRDefault="0020612F" w:rsidP="000B3B93">
    <w:pPr>
      <w:pStyle w:val="Footer"/>
      <w:tabs>
        <w:tab w:val="clear" w:pos="4153"/>
        <w:tab w:val="clear" w:pos="8306"/>
        <w:tab w:val="left" w:pos="1521"/>
      </w:tabs>
      <w:rPr>
        <w:color w:val="7F7F7F" w:themeColor="text1" w:themeTint="80"/>
        <w:sz w:val="2"/>
      </w:rPr>
    </w:pPr>
    <w:r>
      <w:rPr>
        <w:color w:val="7F7F7F" w:themeColor="text1" w:themeTint="80"/>
        <w:sz w:val="2"/>
      </w:rPr>
      <w:t xml:space="preserve">From the </w:t>
    </w:r>
  </w:p>
  <w:p w:rsidR="0020612F" w:rsidRPr="0020612F" w:rsidRDefault="0020612F" w:rsidP="0020612F">
    <w:pPr>
      <w:pStyle w:val="Footer"/>
      <w:tabs>
        <w:tab w:val="clear" w:pos="4153"/>
        <w:tab w:val="clear" w:pos="8306"/>
        <w:tab w:val="left" w:pos="1521"/>
      </w:tabs>
      <w:jc w:val="right"/>
      <w:rPr>
        <w:rFonts w:asciiTheme="minorHAnsi" w:hAnsiTheme="minorHAnsi" w:cstheme="minorHAnsi"/>
        <w:sz w:val="24"/>
        <w:szCs w:val="24"/>
      </w:rPr>
    </w:pPr>
    <w:r>
      <w:rPr>
        <w:i/>
      </w:rPr>
      <w:t xml:space="preserve">Taken </w:t>
    </w:r>
    <w:r w:rsidRPr="0020612F">
      <w:rPr>
        <w:i/>
      </w:rPr>
      <w:t>from the</w:t>
    </w:r>
    <w:r>
      <w:t xml:space="preserve"> </w:t>
    </w:r>
    <w:hyperlink r:id="rId1" w:history="1">
      <w:r w:rsidRPr="0020612F">
        <w:rPr>
          <w:rStyle w:val="Hyperlink"/>
        </w:rPr>
        <w:t>Developing Volunteering Toolkit</w:t>
      </w:r>
    </w:hyperlink>
    <w:r>
      <w:t xml:space="preserve"> – April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132" w:rsidRDefault="00D73132">
      <w:r>
        <w:separator/>
      </w:r>
    </w:p>
  </w:footnote>
  <w:footnote w:type="continuationSeparator" w:id="0">
    <w:p w:rsidR="00D73132" w:rsidRDefault="00D73132">
      <w:r>
        <w:continuationSeparator/>
      </w:r>
    </w:p>
  </w:footnote>
  <w:footnote w:id="1">
    <w:p w:rsidR="0068702D" w:rsidRPr="006E4EBE" w:rsidRDefault="0068702D" w:rsidP="0068702D">
      <w:pPr>
        <w:pStyle w:val="FootnoteText"/>
        <w:rPr>
          <w:sz w:val="16"/>
          <w:szCs w:val="16"/>
        </w:rPr>
      </w:pPr>
      <w:r>
        <w:rPr>
          <w:rStyle w:val="FootnoteReference"/>
        </w:rPr>
        <w:footnoteRef/>
      </w:r>
      <w:r>
        <w:t xml:space="preserve"> </w:t>
      </w:r>
      <w:hyperlink r:id="rId1" w:history="1">
        <w:r w:rsidR="0020612F" w:rsidRPr="00085783">
          <w:rPr>
            <w:rStyle w:val="Hyperlink"/>
          </w:rPr>
          <w:t>www.volunteeringaustralia.org/wp-content/uploads/Volunteering_Australia_Volunteer_Roles_Toolkit+1-1.pdf</w:t>
        </w:r>
      </w:hyperlink>
      <w:r w:rsidR="0020612F">
        <w:t xml:space="preserve"> </w:t>
      </w:r>
    </w:p>
  </w:footnote>
  <w:footnote w:id="2">
    <w:p w:rsidR="0020612F" w:rsidRDefault="0020612F">
      <w:pPr>
        <w:pStyle w:val="FootnoteText"/>
      </w:pPr>
      <w:r>
        <w:rPr>
          <w:rStyle w:val="FootnoteReference"/>
        </w:rPr>
        <w:footnoteRef/>
      </w:r>
      <w:r>
        <w:t xml:space="preserve"> </w:t>
      </w:r>
      <w:hyperlink r:id="rId2" w:history="1">
        <w:r w:rsidRPr="00085783">
          <w:rPr>
            <w:rStyle w:val="Hyperlink"/>
          </w:rPr>
          <w:t>www.hisengage.scot/volunteering</w:t>
        </w:r>
      </w:hyperlink>
      <w:r>
        <w:t xml:space="preserve"> </w:t>
      </w:r>
    </w:p>
  </w:footnote>
  <w:footnote w:id="3">
    <w:p w:rsidR="0068702D" w:rsidRDefault="0068702D" w:rsidP="0068702D">
      <w:pPr>
        <w:pStyle w:val="FootnoteText"/>
      </w:pPr>
      <w:r>
        <w:rPr>
          <w:rStyle w:val="FootnoteReference"/>
        </w:rPr>
        <w:footnoteRef/>
      </w:r>
      <w:r>
        <w:t xml:space="preserve"> </w:t>
      </w:r>
      <w:hyperlink r:id="rId3" w:history="1">
        <w:r w:rsidR="0020612F" w:rsidRPr="00085783">
          <w:rPr>
            <w:rStyle w:val="Hyperlink"/>
          </w:rPr>
          <w:t>www.healthcareimprovementscotland.org/our_work/patient_safety/improving_nutritional_care/‌mealtime_volunteers.aspx</w:t>
        </w:r>
      </w:hyperlink>
      <w:r w:rsidR="0020612F">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960A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8820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8035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0A2F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E6E4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9059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A274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6CF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0E44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B1488"/>
    <w:multiLevelType w:val="hybridMultilevel"/>
    <w:tmpl w:val="BE4861B2"/>
    <w:lvl w:ilvl="0" w:tplc="83B089D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341642"/>
    <w:multiLevelType w:val="hybridMultilevel"/>
    <w:tmpl w:val="7D26811C"/>
    <w:lvl w:ilvl="0" w:tplc="4C62BDBA">
      <w:start w:val="1"/>
      <w:numFmt w:val="bullet"/>
      <w:lvlText w:val=""/>
      <w:lvlJc w:val="left"/>
      <w:pPr>
        <w:ind w:left="1080" w:hanging="360"/>
      </w:pPr>
      <w:rPr>
        <w:rFonts w:ascii="Webdings" w:hAnsi="Web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D412775"/>
    <w:multiLevelType w:val="multilevel"/>
    <w:tmpl w:val="7EDC25EC"/>
    <w:numStyleLink w:val="StyleOutlinenumberedWebdingssymbolLeft063cmHanging"/>
  </w:abstractNum>
  <w:abstractNum w:abstractNumId="13" w15:restartNumberingAfterBreak="0">
    <w:nsid w:val="18360CF3"/>
    <w:multiLevelType w:val="hybridMultilevel"/>
    <w:tmpl w:val="D26E8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773C0C"/>
    <w:multiLevelType w:val="hybridMultilevel"/>
    <w:tmpl w:val="D604E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D96379"/>
    <w:multiLevelType w:val="multilevel"/>
    <w:tmpl w:val="7EDC25EC"/>
    <w:lvl w:ilvl="0">
      <w:start w:val="1"/>
      <w:numFmt w:val="bullet"/>
      <w:lvlText w:val=""/>
      <w:lvlJc w:val="left"/>
      <w:pPr>
        <w:ind w:left="567" w:hanging="283"/>
      </w:pPr>
      <w:rPr>
        <w:rFonts w:ascii="Webdings" w:hAnsi="Web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407311"/>
    <w:multiLevelType w:val="multilevel"/>
    <w:tmpl w:val="7EDC25EC"/>
    <w:numStyleLink w:val="StyleOutlinenumberedWebdingssymbolLeft063cmHanging"/>
  </w:abstractNum>
  <w:abstractNum w:abstractNumId="17" w15:restartNumberingAfterBreak="0">
    <w:nsid w:val="42464294"/>
    <w:multiLevelType w:val="multilevel"/>
    <w:tmpl w:val="4A9A8858"/>
    <w:numStyleLink w:val="StyleBulletedWebdingssymbolLeft05cmHanging05cm"/>
  </w:abstractNum>
  <w:abstractNum w:abstractNumId="18" w15:restartNumberingAfterBreak="0">
    <w:nsid w:val="43A132D6"/>
    <w:multiLevelType w:val="multilevel"/>
    <w:tmpl w:val="7EDC25EC"/>
    <w:styleLink w:val="StyleOutlinenumberedWebdingssymbolLeft063cmHanging"/>
    <w:lvl w:ilvl="0">
      <w:start w:val="1"/>
      <w:numFmt w:val="bullet"/>
      <w:lvlText w:val=""/>
      <w:lvlJc w:val="left"/>
      <w:pPr>
        <w:ind w:left="567" w:hanging="283"/>
      </w:pPr>
      <w:rPr>
        <w:rFonts w:ascii="Webdings" w:hAnsi="Web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ECA5BB0"/>
    <w:multiLevelType w:val="hybridMultilevel"/>
    <w:tmpl w:val="68E8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303F8A"/>
    <w:multiLevelType w:val="multilevel"/>
    <w:tmpl w:val="3DECFA2E"/>
    <w:lvl w:ilvl="0">
      <w:start w:val="1"/>
      <w:numFmt w:val="bullet"/>
      <w:lvlText w:val=""/>
      <w:lvlJc w:val="left"/>
      <w:pPr>
        <w:tabs>
          <w:tab w:val="num" w:pos="680"/>
        </w:tabs>
        <w:ind w:left="680" w:hanging="396"/>
      </w:pPr>
      <w:rPr>
        <w:rFonts w:ascii="Webdings" w:hAnsi="Web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652C72"/>
    <w:multiLevelType w:val="hybridMultilevel"/>
    <w:tmpl w:val="3DECFA2E"/>
    <w:lvl w:ilvl="0" w:tplc="DEC60EC6">
      <w:start w:val="1"/>
      <w:numFmt w:val="bullet"/>
      <w:lvlText w:val=""/>
      <w:lvlJc w:val="left"/>
      <w:pPr>
        <w:tabs>
          <w:tab w:val="num" w:pos="680"/>
        </w:tabs>
        <w:ind w:left="680" w:hanging="396"/>
      </w:pPr>
      <w:rPr>
        <w:rFonts w:ascii="Webdings" w:hAnsi="Web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5E4FB4"/>
    <w:multiLevelType w:val="multilevel"/>
    <w:tmpl w:val="7EDC25EC"/>
    <w:lvl w:ilvl="0">
      <w:start w:val="1"/>
      <w:numFmt w:val="bullet"/>
      <w:lvlText w:val=""/>
      <w:lvlJc w:val="left"/>
      <w:pPr>
        <w:ind w:left="567" w:hanging="283"/>
      </w:pPr>
      <w:rPr>
        <w:rFonts w:ascii="Webdings" w:hAnsi="Webding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7514BD"/>
    <w:multiLevelType w:val="multilevel"/>
    <w:tmpl w:val="4A9A8858"/>
    <w:styleLink w:val="StyleBulletedWebdingssymbolLeft05cmHanging05cm"/>
    <w:lvl w:ilvl="0">
      <w:start w:val="1"/>
      <w:numFmt w:val="bullet"/>
      <w:lvlText w:val=""/>
      <w:lvlJc w:val="left"/>
      <w:pPr>
        <w:ind w:left="720" w:hanging="360"/>
      </w:pPr>
      <w:rPr>
        <w:rFonts w:ascii="Webdings" w:hAnsi="Webding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906B16"/>
    <w:multiLevelType w:val="multilevel"/>
    <w:tmpl w:val="4A9A8858"/>
    <w:numStyleLink w:val="StyleBulletedWebdingssymbolLeft05cmHanging05cm"/>
  </w:abstractNum>
  <w:abstractNum w:abstractNumId="25" w15:restartNumberingAfterBreak="0">
    <w:nsid w:val="69C73D04"/>
    <w:multiLevelType w:val="multilevel"/>
    <w:tmpl w:val="4A9A8858"/>
    <w:lvl w:ilvl="0">
      <w:start w:val="1"/>
      <w:numFmt w:val="bullet"/>
      <w:lvlText w:val=""/>
      <w:lvlJc w:val="left"/>
      <w:pPr>
        <w:ind w:left="720" w:hanging="360"/>
      </w:pPr>
      <w:rPr>
        <w:rFonts w:ascii="Webdings" w:hAnsi="Webding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2C823EF"/>
    <w:multiLevelType w:val="hybridMultilevel"/>
    <w:tmpl w:val="B91A9C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9404F4B"/>
    <w:multiLevelType w:val="hybridMultilevel"/>
    <w:tmpl w:val="4A9A8858"/>
    <w:lvl w:ilvl="0" w:tplc="83B089D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667F0F"/>
    <w:multiLevelType w:val="multilevel"/>
    <w:tmpl w:val="7EDC25EC"/>
    <w:numStyleLink w:val="StyleOutlinenumberedWebdingssymbolLeft063cmHanging"/>
  </w:abstractNum>
  <w:num w:numId="1">
    <w:abstractNumId w:val="21"/>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3"/>
  </w:num>
  <w:num w:numId="15">
    <w:abstractNumId w:val="19"/>
  </w:num>
  <w:num w:numId="16">
    <w:abstractNumId w:val="27"/>
  </w:num>
  <w:num w:numId="17">
    <w:abstractNumId w:val="23"/>
  </w:num>
  <w:num w:numId="18">
    <w:abstractNumId w:val="17"/>
  </w:num>
  <w:num w:numId="19">
    <w:abstractNumId w:val="24"/>
  </w:num>
  <w:num w:numId="20">
    <w:abstractNumId w:val="25"/>
  </w:num>
  <w:num w:numId="21">
    <w:abstractNumId w:val="18"/>
  </w:num>
  <w:num w:numId="22">
    <w:abstractNumId w:val="12"/>
  </w:num>
  <w:num w:numId="23">
    <w:abstractNumId w:val="28"/>
  </w:num>
  <w:num w:numId="24">
    <w:abstractNumId w:val="16"/>
  </w:num>
  <w:num w:numId="25">
    <w:abstractNumId w:val="15"/>
  </w:num>
  <w:num w:numId="26">
    <w:abstractNumId w:val="22"/>
  </w:num>
  <w:num w:numId="27">
    <w:abstractNumId w:val="10"/>
  </w:num>
  <w:num w:numId="28">
    <w:abstractNumId w:val="11"/>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2D"/>
    <w:rsid w:val="00027C1A"/>
    <w:rsid w:val="00037407"/>
    <w:rsid w:val="00083D35"/>
    <w:rsid w:val="000A65BA"/>
    <w:rsid w:val="000B3B93"/>
    <w:rsid w:val="00113E9E"/>
    <w:rsid w:val="00116096"/>
    <w:rsid w:val="001364B4"/>
    <w:rsid w:val="001C1B05"/>
    <w:rsid w:val="001F49CF"/>
    <w:rsid w:val="0020612F"/>
    <w:rsid w:val="002E64E4"/>
    <w:rsid w:val="00324130"/>
    <w:rsid w:val="00334B27"/>
    <w:rsid w:val="003E159C"/>
    <w:rsid w:val="00532CA8"/>
    <w:rsid w:val="00580F01"/>
    <w:rsid w:val="005E54F7"/>
    <w:rsid w:val="006166BE"/>
    <w:rsid w:val="006332B9"/>
    <w:rsid w:val="0068702D"/>
    <w:rsid w:val="006A65D9"/>
    <w:rsid w:val="006C4698"/>
    <w:rsid w:val="006F2AB1"/>
    <w:rsid w:val="00742FFA"/>
    <w:rsid w:val="007503A6"/>
    <w:rsid w:val="007A72AE"/>
    <w:rsid w:val="007C20C6"/>
    <w:rsid w:val="00836D5C"/>
    <w:rsid w:val="00896F6B"/>
    <w:rsid w:val="009724E4"/>
    <w:rsid w:val="009E04D3"/>
    <w:rsid w:val="009E612B"/>
    <w:rsid w:val="009F4D69"/>
    <w:rsid w:val="00B34D6C"/>
    <w:rsid w:val="00B72274"/>
    <w:rsid w:val="00B932E5"/>
    <w:rsid w:val="00C01C9A"/>
    <w:rsid w:val="00D00583"/>
    <w:rsid w:val="00D213B1"/>
    <w:rsid w:val="00D73132"/>
    <w:rsid w:val="00D8002F"/>
    <w:rsid w:val="00DA2BC8"/>
    <w:rsid w:val="00DB330D"/>
    <w:rsid w:val="00E51112"/>
    <w:rsid w:val="00E5363D"/>
    <w:rsid w:val="00E705C2"/>
    <w:rsid w:val="00F11157"/>
    <w:rsid w:val="00F368CA"/>
    <w:rsid w:val="00F40550"/>
    <w:rsid w:val="00F4330C"/>
    <w:rsid w:val="00F85897"/>
    <w:rsid w:val="00FB67BD"/>
    <w:rsid w:val="00FD2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9B317"/>
  <w15:chartTrackingRefBased/>
  <w15:docId w15:val="{2FC98D8E-A392-4408-9F72-A44E7D2F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02D"/>
    <w:pPr>
      <w:spacing w:after="200" w:line="276" w:lineRule="auto"/>
    </w:pPr>
    <w:rPr>
      <w:rFonts w:eastAsia="Calibri"/>
      <w:sz w:val="22"/>
      <w:szCs w:val="22"/>
      <w:lang w:eastAsia="en-US"/>
    </w:rPr>
  </w:style>
  <w:style w:type="paragraph" w:styleId="Heading1">
    <w:name w:val="heading 1"/>
    <w:basedOn w:val="Normal"/>
    <w:next w:val="Normal"/>
    <w:link w:val="Heading1Char"/>
    <w:uiPriority w:val="9"/>
    <w:qFormat/>
    <w:rsid w:val="009E612B"/>
    <w:pPr>
      <w:keepNext/>
      <w:keepLines/>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9E612B"/>
    <w:pPr>
      <w:keepNext/>
      <w:keepLines/>
      <w:outlineLvl w:val="1"/>
    </w:pPr>
    <w:rPr>
      <w:rFonts w:eastAsiaTheme="majorEastAsia" w:cstheme="majorBidi"/>
      <w:b/>
      <w:bCs/>
      <w:color w:val="000000" w:themeColor="text1"/>
      <w:szCs w:val="26"/>
    </w:rPr>
  </w:style>
  <w:style w:type="paragraph" w:styleId="Heading3">
    <w:name w:val="heading 3"/>
    <w:basedOn w:val="Normal"/>
    <w:next w:val="Normal"/>
    <w:link w:val="Heading3Char"/>
    <w:semiHidden/>
    <w:unhideWhenUsed/>
    <w:qFormat/>
    <w:rsid w:val="009E612B"/>
    <w:pPr>
      <w:keepNext/>
      <w:keepLines/>
      <w:outlineLvl w:val="2"/>
    </w:pPr>
    <w:rPr>
      <w:rFonts w:eastAsiaTheme="majorEastAsia" w:cstheme="majorBidi"/>
      <w:b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8002F"/>
    <w:rPr>
      <w:rFonts w:ascii="Arial" w:hAnsi="Arial"/>
      <w:color w:val="0000FF"/>
      <w:u w:val="single"/>
    </w:rPr>
  </w:style>
  <w:style w:type="character" w:styleId="PageNumber">
    <w:name w:val="page number"/>
    <w:basedOn w:val="DefaultParagraphFont"/>
    <w:rsid w:val="00D8002F"/>
    <w:rPr>
      <w:rFonts w:ascii="Arial" w:hAnsi="Arial"/>
    </w:rPr>
  </w:style>
  <w:style w:type="character" w:styleId="FollowedHyperlink">
    <w:name w:val="FollowedHyperlink"/>
    <w:basedOn w:val="DefaultParagraphFont"/>
    <w:rsid w:val="00D8002F"/>
    <w:rPr>
      <w:rFonts w:ascii="Arial" w:hAnsi="Arial"/>
      <w:color w:val="800080"/>
      <w:u w:val="single"/>
    </w:rPr>
  </w:style>
  <w:style w:type="paragraph" w:styleId="NormalWeb">
    <w:name w:val="Normal (Web)"/>
    <w:basedOn w:val="Normal"/>
    <w:rsid w:val="00D8002F"/>
  </w:style>
  <w:style w:type="paragraph" w:styleId="Header">
    <w:name w:val="header"/>
    <w:basedOn w:val="Normal"/>
    <w:rsid w:val="00037407"/>
    <w:pPr>
      <w:tabs>
        <w:tab w:val="center" w:pos="4153"/>
        <w:tab w:val="right" w:pos="8306"/>
      </w:tabs>
    </w:pPr>
  </w:style>
  <w:style w:type="paragraph" w:styleId="Footer">
    <w:name w:val="footer"/>
    <w:basedOn w:val="Normal"/>
    <w:link w:val="FooterChar"/>
    <w:rsid w:val="00037407"/>
    <w:pPr>
      <w:tabs>
        <w:tab w:val="center" w:pos="4153"/>
        <w:tab w:val="right" w:pos="8306"/>
      </w:tabs>
    </w:pPr>
  </w:style>
  <w:style w:type="table" w:styleId="TableGrid">
    <w:name w:val="Table Grid"/>
    <w:basedOn w:val="TableNormal"/>
    <w:uiPriority w:val="99"/>
    <w:rsid w:val="00037407"/>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9F4D69"/>
    <w:rPr>
      <w:rFonts w:ascii="Arial" w:hAnsi="Arial"/>
      <w:sz w:val="24"/>
      <w:szCs w:val="24"/>
    </w:rPr>
  </w:style>
  <w:style w:type="paragraph" w:styleId="ListParagraph">
    <w:name w:val="List Paragraph"/>
    <w:basedOn w:val="Normal"/>
    <w:uiPriority w:val="99"/>
    <w:qFormat/>
    <w:rsid w:val="00F40550"/>
    <w:pPr>
      <w:ind w:left="567"/>
      <w:contextualSpacing/>
    </w:pPr>
  </w:style>
  <w:style w:type="numbering" w:customStyle="1" w:styleId="StyleBulletedWebdingssymbolLeft05cmHanging05cm">
    <w:name w:val="Style Bulleted Webdings (symbol) Left:  0.5 cm Hanging:  0.5 cm"/>
    <w:basedOn w:val="NoList"/>
    <w:rsid w:val="00F40550"/>
    <w:pPr>
      <w:numPr>
        <w:numId w:val="17"/>
      </w:numPr>
    </w:pPr>
  </w:style>
  <w:style w:type="numbering" w:customStyle="1" w:styleId="StyleOutlinenumberedWebdingssymbolLeft063cmHanging">
    <w:name w:val="Style Outline numbered Webdings (symbol) Left:  0.63 cm Hanging:..."/>
    <w:basedOn w:val="NoList"/>
    <w:rsid w:val="00F40550"/>
    <w:pPr>
      <w:numPr>
        <w:numId w:val="21"/>
      </w:numPr>
    </w:pPr>
  </w:style>
  <w:style w:type="character" w:customStyle="1" w:styleId="Heading1Char">
    <w:name w:val="Heading 1 Char"/>
    <w:basedOn w:val="DefaultParagraphFont"/>
    <w:link w:val="Heading1"/>
    <w:uiPriority w:val="9"/>
    <w:rsid w:val="009E612B"/>
    <w:rPr>
      <w:rFonts w:eastAsiaTheme="majorEastAsia" w:cstheme="majorBidi"/>
      <w:b/>
      <w:bCs/>
      <w:color w:val="000000" w:themeColor="text1"/>
      <w:sz w:val="28"/>
      <w:szCs w:val="28"/>
    </w:rPr>
  </w:style>
  <w:style w:type="paragraph" w:styleId="Title">
    <w:name w:val="Title"/>
    <w:basedOn w:val="Normal"/>
    <w:next w:val="Normal"/>
    <w:link w:val="TitleChar"/>
    <w:qFormat/>
    <w:rsid w:val="009E612B"/>
    <w:pPr>
      <w:pBdr>
        <w:bottom w:val="single" w:sz="8" w:space="4" w:color="4F81BD" w:themeColor="accent1"/>
      </w:pBdr>
      <w:spacing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9E612B"/>
    <w:rPr>
      <w:rFonts w:eastAsiaTheme="majorEastAsia" w:cstheme="majorBidi"/>
      <w:color w:val="000000" w:themeColor="text1"/>
      <w:spacing w:val="5"/>
      <w:kern w:val="28"/>
      <w:sz w:val="52"/>
      <w:szCs w:val="52"/>
    </w:rPr>
  </w:style>
  <w:style w:type="paragraph" w:styleId="TOAHeading">
    <w:name w:val="toa heading"/>
    <w:basedOn w:val="Normal"/>
    <w:next w:val="Normal"/>
    <w:rsid w:val="009E612B"/>
    <w:pPr>
      <w:spacing w:after="120"/>
    </w:pPr>
    <w:rPr>
      <w:rFonts w:eastAsiaTheme="majorEastAsia" w:cstheme="majorBidi"/>
      <w:b/>
      <w:bCs/>
    </w:rPr>
  </w:style>
  <w:style w:type="character" w:customStyle="1" w:styleId="Heading2Char">
    <w:name w:val="Heading 2 Char"/>
    <w:basedOn w:val="DefaultParagraphFont"/>
    <w:link w:val="Heading2"/>
    <w:uiPriority w:val="9"/>
    <w:rsid w:val="009E612B"/>
    <w:rPr>
      <w:rFonts w:eastAsiaTheme="majorEastAsia" w:cstheme="majorBidi"/>
      <w:b/>
      <w:bCs/>
      <w:color w:val="000000" w:themeColor="text1"/>
      <w:szCs w:val="26"/>
    </w:rPr>
  </w:style>
  <w:style w:type="character" w:customStyle="1" w:styleId="Heading3Char">
    <w:name w:val="Heading 3 Char"/>
    <w:basedOn w:val="DefaultParagraphFont"/>
    <w:link w:val="Heading3"/>
    <w:semiHidden/>
    <w:rsid w:val="009E612B"/>
    <w:rPr>
      <w:rFonts w:eastAsiaTheme="majorEastAsia" w:cstheme="majorBidi"/>
      <w:bCs/>
      <w:color w:val="000000" w:themeColor="text1"/>
      <w:u w:val="single"/>
    </w:rPr>
  </w:style>
  <w:style w:type="paragraph" w:styleId="FootnoteText">
    <w:name w:val="footnote text"/>
    <w:basedOn w:val="Normal"/>
    <w:link w:val="FootnoteTextChar"/>
    <w:rsid w:val="0068702D"/>
    <w:pPr>
      <w:spacing w:after="0" w:line="240" w:lineRule="auto"/>
    </w:pPr>
    <w:rPr>
      <w:rFonts w:eastAsia="Times New Roman"/>
      <w:sz w:val="20"/>
      <w:szCs w:val="20"/>
      <w:lang w:eastAsia="en-GB"/>
    </w:rPr>
  </w:style>
  <w:style w:type="character" w:customStyle="1" w:styleId="FootnoteTextChar">
    <w:name w:val="Footnote Text Char"/>
    <w:basedOn w:val="DefaultParagraphFont"/>
    <w:link w:val="FootnoteText"/>
    <w:rsid w:val="0068702D"/>
    <w:rPr>
      <w:sz w:val="20"/>
      <w:szCs w:val="20"/>
    </w:rPr>
  </w:style>
  <w:style w:type="character" w:styleId="FootnoteReference">
    <w:name w:val="footnote reference"/>
    <w:basedOn w:val="DefaultParagraphFont"/>
    <w:rsid w:val="006870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59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hisengage.scot/equipping-professionals/volunteering-in-nhs-scotland/guidance-and-publications/developing-volunteering-toolki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healthcareimprovementscotland.org/our_work/patient_safety/improving_nutritional_care/&#8204;mealtime_volunteers.aspx" TargetMode="External"/><Relationship Id="rId2" Type="http://schemas.openxmlformats.org/officeDocument/2006/relationships/hyperlink" Target="http://www.hisengage.scot/volunteering" TargetMode="External"/><Relationship Id="rId1" Type="http://schemas.openxmlformats.org/officeDocument/2006/relationships/hyperlink" Target="http://www.volunteeringaustralia.org/wp-content/uploads/Volunteering_Australia_Volunteer_Roles_Toolkit+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Bigham</dc:creator>
  <cp:keywords/>
  <dc:description/>
  <cp:lastModifiedBy>Richard Kennedy-McCrea</cp:lastModifiedBy>
  <cp:revision>1</cp:revision>
  <dcterms:created xsi:type="dcterms:W3CDTF">2020-09-17T11:11:00Z</dcterms:created>
  <dcterms:modified xsi:type="dcterms:W3CDTF">2020-09-17T11:11:00Z</dcterms:modified>
</cp:coreProperties>
</file>